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A" w:rsidRDefault="00B9517A" w:rsidP="00B9517A">
      <w:pPr>
        <w:pStyle w:val="Default"/>
        <w:jc w:val="center"/>
        <w:rPr>
          <w:rFonts w:ascii="Calibri" w:eastAsiaTheme="minorHAnsi" w:hAnsi="Calibri" w:cs="Calibri"/>
          <w:b/>
          <w:bCs/>
          <w:color w:val="000000" w:themeColor="text1"/>
          <w:sz w:val="40"/>
          <w:szCs w:val="40"/>
        </w:rPr>
      </w:pPr>
      <w:r>
        <w:rPr>
          <w:rFonts w:ascii="Calibri" w:eastAsiaTheme="minorHAnsi" w:hAnsi="Calibri" w:cs="Calibri"/>
          <w:b/>
          <w:bCs/>
          <w:color w:val="000000" w:themeColor="text1"/>
          <w:sz w:val="40"/>
          <w:szCs w:val="40"/>
        </w:rPr>
        <w:t>ABSTRACT</w:t>
      </w:r>
    </w:p>
    <w:p w:rsidR="00B9517A" w:rsidRPr="0005568C" w:rsidRDefault="00B9517A" w:rsidP="00B9517A">
      <w:pPr>
        <w:pStyle w:val="Default"/>
        <w:jc w:val="center"/>
        <w:rPr>
          <w:rFonts w:ascii="Calibri" w:hAnsi="Calibri" w:cs="Calibri"/>
          <w:b/>
          <w:bCs/>
          <w:color w:val="000000" w:themeColor="text1"/>
          <w:sz w:val="40"/>
          <w:szCs w:val="40"/>
        </w:rPr>
      </w:pPr>
      <w:r>
        <w:rPr>
          <w:rFonts w:ascii="Calibri" w:eastAsiaTheme="minorHAnsi" w:hAnsi="Calibri" w:cs="Calibri"/>
          <w:b/>
          <w:bCs/>
          <w:color w:val="000000" w:themeColor="text1"/>
          <w:sz w:val="40"/>
          <w:szCs w:val="40"/>
        </w:rPr>
        <w:t>Land Governance in Botswana</w:t>
      </w:r>
    </w:p>
    <w:p w:rsidR="00B9517A" w:rsidRDefault="00B9517A" w:rsidP="00B9517A">
      <w:pPr>
        <w:autoSpaceDE w:val="0"/>
        <w:autoSpaceDN w:val="0"/>
        <w:adjustRightInd w:val="0"/>
        <w:spacing w:after="0" w:line="240" w:lineRule="auto"/>
        <w:jc w:val="center"/>
        <w:rPr>
          <w:rFonts w:ascii="Calibri" w:hAnsi="Calibri" w:cs="Calibri"/>
          <w:b/>
          <w:bCs/>
          <w:color w:val="000000" w:themeColor="text1"/>
          <w:sz w:val="24"/>
          <w:szCs w:val="24"/>
        </w:rPr>
      </w:pPr>
    </w:p>
    <w:p w:rsidR="00B9517A" w:rsidRPr="008049AA" w:rsidRDefault="00B9517A" w:rsidP="00B9517A">
      <w:pPr>
        <w:autoSpaceDE w:val="0"/>
        <w:autoSpaceDN w:val="0"/>
        <w:adjustRightInd w:val="0"/>
        <w:spacing w:after="0" w:line="240" w:lineRule="auto"/>
        <w:jc w:val="center"/>
        <w:rPr>
          <w:rFonts w:ascii="Calibri" w:hAnsi="Calibri" w:cs="Calibri"/>
          <w:color w:val="000000" w:themeColor="text1"/>
          <w:sz w:val="24"/>
          <w:szCs w:val="24"/>
          <w:vertAlign w:val="superscript"/>
        </w:rPr>
      </w:pPr>
      <w:r w:rsidRPr="008049AA">
        <w:rPr>
          <w:rFonts w:ascii="Calibri" w:hAnsi="Calibri" w:cs="Calibri"/>
          <w:b/>
          <w:bCs/>
          <w:color w:val="000000" w:themeColor="text1"/>
          <w:sz w:val="24"/>
          <w:szCs w:val="24"/>
        </w:rPr>
        <w:t>Johnson Kampamba</w:t>
      </w:r>
      <w:r>
        <w:rPr>
          <w:rFonts w:ascii="Calibri" w:hAnsi="Calibri" w:cs="Calibri"/>
          <w:b/>
          <w:bCs/>
          <w:color w:val="000000" w:themeColor="text1"/>
          <w:sz w:val="24"/>
          <w:szCs w:val="24"/>
          <w:vertAlign w:val="superscript"/>
        </w:rPr>
        <w:t>1</w:t>
      </w:r>
      <w:r w:rsidRPr="0005568C">
        <w:rPr>
          <w:rFonts w:ascii="Calibri" w:hAnsi="Calibri" w:cs="Calibri"/>
          <w:b/>
          <w:bCs/>
          <w:color w:val="000000" w:themeColor="text1"/>
          <w:sz w:val="24"/>
          <w:szCs w:val="24"/>
        </w:rPr>
        <w:t xml:space="preserve">, </w:t>
      </w:r>
      <w:r w:rsidRPr="008049AA">
        <w:rPr>
          <w:rFonts w:ascii="Calibri" w:hAnsi="Calibri" w:cs="Calibri"/>
          <w:b/>
          <w:bCs/>
          <w:color w:val="000000" w:themeColor="text1"/>
          <w:sz w:val="24"/>
          <w:szCs w:val="24"/>
        </w:rPr>
        <w:t>Simon Kachepa</w:t>
      </w:r>
      <w:r>
        <w:rPr>
          <w:rFonts w:ascii="Calibri" w:hAnsi="Calibri" w:cs="Calibri"/>
          <w:b/>
          <w:bCs/>
          <w:color w:val="000000" w:themeColor="text1"/>
          <w:sz w:val="24"/>
          <w:szCs w:val="24"/>
          <w:vertAlign w:val="superscript"/>
        </w:rPr>
        <w:t>2</w:t>
      </w:r>
      <w:r>
        <w:rPr>
          <w:rFonts w:ascii="Calibri" w:hAnsi="Calibri" w:cs="Calibri"/>
          <w:b/>
          <w:bCs/>
          <w:color w:val="000000" w:themeColor="text1"/>
          <w:sz w:val="24"/>
          <w:szCs w:val="24"/>
        </w:rPr>
        <w:t>,</w:t>
      </w:r>
      <w:r w:rsidRPr="008049AA">
        <w:rPr>
          <w:rFonts w:ascii="Calibri" w:hAnsi="Calibri" w:cs="Calibri"/>
          <w:b/>
          <w:bCs/>
          <w:color w:val="000000" w:themeColor="text1"/>
          <w:sz w:val="24"/>
          <w:szCs w:val="24"/>
        </w:rPr>
        <w:t xml:space="preserve"> </w:t>
      </w:r>
      <w:r>
        <w:rPr>
          <w:rFonts w:ascii="Calibri" w:hAnsi="Calibri" w:cs="Calibri"/>
          <w:b/>
          <w:bCs/>
          <w:color w:val="000000" w:themeColor="text1"/>
          <w:sz w:val="24"/>
          <w:szCs w:val="24"/>
        </w:rPr>
        <w:t>Loyd Sungirirai</w:t>
      </w:r>
      <w:r>
        <w:rPr>
          <w:rFonts w:ascii="Calibri" w:hAnsi="Calibri" w:cs="Calibri"/>
          <w:b/>
          <w:bCs/>
          <w:color w:val="000000" w:themeColor="text1"/>
          <w:sz w:val="24"/>
          <w:szCs w:val="24"/>
          <w:vertAlign w:val="superscript"/>
        </w:rPr>
        <w:t>3</w:t>
      </w:r>
      <w:r>
        <w:rPr>
          <w:rFonts w:ascii="Calibri" w:hAnsi="Calibri" w:cs="Calibri"/>
          <w:b/>
          <w:bCs/>
          <w:color w:val="000000" w:themeColor="text1"/>
          <w:sz w:val="24"/>
          <w:szCs w:val="24"/>
        </w:rPr>
        <w:t>, Carrington Nyendwa</w:t>
      </w:r>
      <w:r>
        <w:rPr>
          <w:rFonts w:ascii="Calibri" w:hAnsi="Calibri" w:cs="Calibri"/>
          <w:b/>
          <w:bCs/>
          <w:color w:val="000000" w:themeColor="text1"/>
          <w:sz w:val="24"/>
          <w:szCs w:val="24"/>
          <w:vertAlign w:val="superscript"/>
        </w:rPr>
        <w:t>4</w:t>
      </w:r>
      <w:proofErr w:type="gramStart"/>
      <w:r>
        <w:rPr>
          <w:rFonts w:ascii="Calibri" w:hAnsi="Calibri" w:cs="Calibri"/>
          <w:b/>
          <w:bCs/>
          <w:color w:val="000000" w:themeColor="text1"/>
          <w:sz w:val="24"/>
          <w:szCs w:val="24"/>
        </w:rPr>
        <w:t xml:space="preserve">,  </w:t>
      </w:r>
      <w:r w:rsidRPr="008049AA">
        <w:rPr>
          <w:rFonts w:ascii="Calibri" w:hAnsi="Calibri" w:cs="Calibri"/>
          <w:b/>
          <w:bCs/>
          <w:color w:val="000000" w:themeColor="text1"/>
          <w:sz w:val="24"/>
          <w:szCs w:val="24"/>
        </w:rPr>
        <w:t>Phenyo</w:t>
      </w:r>
      <w:proofErr w:type="gramEnd"/>
      <w:r w:rsidRPr="008049AA">
        <w:rPr>
          <w:rFonts w:ascii="Calibri" w:hAnsi="Calibri" w:cs="Calibri"/>
          <w:b/>
          <w:bCs/>
          <w:color w:val="000000" w:themeColor="text1"/>
          <w:sz w:val="24"/>
          <w:szCs w:val="24"/>
        </w:rPr>
        <w:t xml:space="preserve"> Mpolokang</w:t>
      </w:r>
      <w:r>
        <w:rPr>
          <w:rFonts w:ascii="Calibri" w:hAnsi="Calibri" w:cs="Calibri"/>
          <w:b/>
          <w:bCs/>
          <w:color w:val="000000" w:themeColor="text1"/>
          <w:sz w:val="24"/>
          <w:szCs w:val="24"/>
          <w:vertAlign w:val="superscript"/>
        </w:rPr>
        <w:t>5</w:t>
      </w:r>
      <w:r>
        <w:rPr>
          <w:rFonts w:ascii="Calibri" w:hAnsi="Calibri" w:cs="Calibri"/>
          <w:b/>
          <w:bCs/>
          <w:color w:val="000000" w:themeColor="text1"/>
          <w:sz w:val="24"/>
          <w:szCs w:val="24"/>
        </w:rPr>
        <w:t>,</w:t>
      </w:r>
      <w:r w:rsidRPr="008049AA">
        <w:t xml:space="preserve"> </w:t>
      </w:r>
      <w:r>
        <w:rPr>
          <w:rFonts w:ascii="Calibri" w:hAnsi="Calibri" w:cs="Calibri"/>
          <w:b/>
          <w:bCs/>
          <w:color w:val="000000" w:themeColor="text1"/>
          <w:sz w:val="24"/>
          <w:szCs w:val="24"/>
        </w:rPr>
        <w:t xml:space="preserve">Milidzani </w:t>
      </w:r>
      <w:r w:rsidRPr="008049AA">
        <w:rPr>
          <w:rFonts w:ascii="Calibri" w:hAnsi="Calibri" w:cs="Calibri"/>
          <w:b/>
          <w:bCs/>
          <w:color w:val="000000" w:themeColor="text1"/>
          <w:sz w:val="24"/>
          <w:szCs w:val="24"/>
        </w:rPr>
        <w:t>Majing</w:t>
      </w:r>
      <w:r>
        <w:rPr>
          <w:rFonts w:ascii="Calibri" w:hAnsi="Calibri" w:cs="Calibri"/>
          <w:b/>
          <w:bCs/>
          <w:color w:val="000000" w:themeColor="text1"/>
          <w:sz w:val="24"/>
          <w:szCs w:val="24"/>
        </w:rPr>
        <w:t>o</w:t>
      </w:r>
      <w:r>
        <w:rPr>
          <w:rFonts w:ascii="Calibri" w:hAnsi="Calibri" w:cs="Calibri"/>
          <w:b/>
          <w:bCs/>
          <w:color w:val="000000" w:themeColor="text1"/>
          <w:sz w:val="24"/>
          <w:szCs w:val="24"/>
          <w:vertAlign w:val="superscript"/>
        </w:rPr>
        <w:t>6</w:t>
      </w:r>
    </w:p>
    <w:p w:rsidR="00B9517A" w:rsidRDefault="00B9517A" w:rsidP="00B9517A">
      <w:pPr>
        <w:autoSpaceDE w:val="0"/>
        <w:autoSpaceDN w:val="0"/>
        <w:adjustRightInd w:val="0"/>
        <w:spacing w:after="0" w:line="240" w:lineRule="auto"/>
        <w:jc w:val="center"/>
        <w:rPr>
          <w:rFonts w:ascii="Calibri" w:hAnsi="Calibri" w:cs="Calibri"/>
          <w:color w:val="000000" w:themeColor="text1"/>
          <w:sz w:val="24"/>
          <w:szCs w:val="24"/>
          <w:vertAlign w:val="superscript"/>
        </w:rPr>
      </w:pPr>
    </w:p>
    <w:p w:rsidR="00B9517A" w:rsidRDefault="00B9517A" w:rsidP="00B9517A">
      <w:pPr>
        <w:autoSpaceDE w:val="0"/>
        <w:autoSpaceDN w:val="0"/>
        <w:adjustRightInd w:val="0"/>
        <w:spacing w:after="0" w:line="240" w:lineRule="auto"/>
        <w:jc w:val="center"/>
        <w:rPr>
          <w:rFonts w:ascii="Calibri" w:hAnsi="Calibri" w:cs="Calibri"/>
          <w:color w:val="000000" w:themeColor="text1"/>
          <w:sz w:val="24"/>
          <w:szCs w:val="24"/>
        </w:rPr>
      </w:pPr>
      <w:r>
        <w:rPr>
          <w:rFonts w:ascii="Calibri" w:hAnsi="Calibri" w:cs="Calibri"/>
          <w:color w:val="000000" w:themeColor="text1"/>
          <w:sz w:val="24"/>
          <w:szCs w:val="24"/>
          <w:vertAlign w:val="superscript"/>
        </w:rPr>
        <w:t>1</w:t>
      </w:r>
      <w:r>
        <w:rPr>
          <w:rFonts w:ascii="Calibri" w:hAnsi="Calibri" w:cs="Calibri"/>
          <w:color w:val="000000" w:themeColor="text1"/>
          <w:sz w:val="24"/>
          <w:szCs w:val="24"/>
        </w:rPr>
        <w:t xml:space="preserve">University of Botswana </w:t>
      </w:r>
      <w:hyperlink r:id="rId5" w:history="1">
        <w:r w:rsidRPr="00253D9E">
          <w:rPr>
            <w:rStyle w:val="Hyperlink"/>
            <w:rFonts w:ascii="Calibri" w:hAnsi="Calibri" w:cs="Calibri"/>
            <w:sz w:val="24"/>
            <w:szCs w:val="24"/>
          </w:rPr>
          <w:t>Kampambaj@mopipi.ub.bw</w:t>
        </w:r>
      </w:hyperlink>
      <w:r w:rsidRPr="008049AA">
        <w:rPr>
          <w:rFonts w:ascii="Calibri" w:hAnsi="Calibri" w:cs="Calibri"/>
          <w:color w:val="000000" w:themeColor="text1"/>
          <w:sz w:val="24"/>
          <w:szCs w:val="24"/>
        </w:rPr>
        <w:t xml:space="preserve"> </w:t>
      </w:r>
    </w:p>
    <w:p w:rsidR="00B9517A" w:rsidRDefault="00B9517A" w:rsidP="00B9517A">
      <w:pPr>
        <w:tabs>
          <w:tab w:val="left" w:pos="1620"/>
        </w:tabs>
        <w:autoSpaceDE w:val="0"/>
        <w:autoSpaceDN w:val="0"/>
        <w:adjustRightInd w:val="0"/>
        <w:spacing w:after="0" w:line="240" w:lineRule="auto"/>
        <w:jc w:val="center"/>
        <w:rPr>
          <w:rFonts w:ascii="Calibri" w:hAnsi="Calibri" w:cs="Calibri"/>
          <w:color w:val="000000" w:themeColor="text1"/>
          <w:sz w:val="24"/>
          <w:szCs w:val="24"/>
        </w:rPr>
      </w:pPr>
      <w:r>
        <w:rPr>
          <w:rFonts w:ascii="Calibri" w:hAnsi="Calibri" w:cs="Calibri"/>
          <w:color w:val="000000" w:themeColor="text1"/>
          <w:sz w:val="24"/>
          <w:szCs w:val="24"/>
          <w:vertAlign w:val="superscript"/>
        </w:rPr>
        <w:t>2</w:t>
      </w:r>
      <w:r>
        <w:rPr>
          <w:rFonts w:ascii="Calibri" w:hAnsi="Calibri" w:cs="Calibri"/>
          <w:color w:val="000000" w:themeColor="text1"/>
          <w:sz w:val="24"/>
          <w:szCs w:val="24"/>
        </w:rPr>
        <w:t xml:space="preserve">University of Botswana </w:t>
      </w:r>
      <w:hyperlink r:id="rId6" w:history="1">
        <w:r w:rsidRPr="00253D9E">
          <w:rPr>
            <w:rStyle w:val="Hyperlink"/>
            <w:rFonts w:ascii="Calibri" w:hAnsi="Calibri" w:cs="Calibri"/>
            <w:sz w:val="24"/>
            <w:szCs w:val="24"/>
          </w:rPr>
          <w:t>Simon.Kachepa@mopipi.ub.bw</w:t>
        </w:r>
      </w:hyperlink>
      <w:r w:rsidRPr="008049AA">
        <w:rPr>
          <w:rFonts w:ascii="Calibri" w:hAnsi="Calibri" w:cs="Calibri"/>
          <w:color w:val="000000" w:themeColor="text1"/>
          <w:sz w:val="24"/>
          <w:szCs w:val="24"/>
        </w:rPr>
        <w:t xml:space="preserve"> </w:t>
      </w:r>
    </w:p>
    <w:p w:rsidR="00B9517A" w:rsidRDefault="00B9517A" w:rsidP="00B9517A">
      <w:pPr>
        <w:tabs>
          <w:tab w:val="left" w:pos="640"/>
          <w:tab w:val="center" w:pos="4680"/>
        </w:tabs>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vertAlign w:val="superscript"/>
        </w:rPr>
        <w:t>3</w:t>
      </w:r>
      <w:r w:rsidRPr="008049AA">
        <w:rPr>
          <w:rFonts w:ascii="Calibri" w:hAnsi="Calibri" w:cs="Calibri"/>
          <w:color w:val="000000" w:themeColor="text1"/>
          <w:sz w:val="24"/>
          <w:szCs w:val="24"/>
        </w:rPr>
        <w:t xml:space="preserve">BA ISAGO University, </w:t>
      </w:r>
      <w:hyperlink r:id="rId7" w:history="1">
        <w:r w:rsidRPr="00253D9E">
          <w:rPr>
            <w:rStyle w:val="Hyperlink"/>
            <w:rFonts w:ascii="Calibri" w:hAnsi="Calibri" w:cs="Calibri"/>
            <w:sz w:val="24"/>
            <w:szCs w:val="24"/>
          </w:rPr>
          <w:t>loyd.sungirirai@baisago.ac.bw</w:t>
        </w:r>
      </w:hyperlink>
    </w:p>
    <w:p w:rsidR="00B9517A" w:rsidRDefault="00B9517A" w:rsidP="00B9517A">
      <w:pPr>
        <w:tabs>
          <w:tab w:val="left" w:pos="1620"/>
        </w:tabs>
        <w:autoSpaceDE w:val="0"/>
        <w:autoSpaceDN w:val="0"/>
        <w:adjustRightInd w:val="0"/>
        <w:spacing w:after="0" w:line="240" w:lineRule="auto"/>
        <w:jc w:val="center"/>
        <w:rPr>
          <w:rFonts w:ascii="Calibri" w:hAnsi="Calibri" w:cs="Calibri"/>
          <w:color w:val="000000" w:themeColor="text1"/>
          <w:sz w:val="24"/>
          <w:szCs w:val="24"/>
        </w:rPr>
      </w:pP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vertAlign w:val="superscript"/>
        </w:rPr>
        <w:t>4</w:t>
      </w:r>
      <w:r w:rsidRPr="008049AA">
        <w:rPr>
          <w:rFonts w:ascii="Calibri" w:hAnsi="Calibri" w:cs="Calibri"/>
          <w:color w:val="000000" w:themeColor="text1"/>
          <w:sz w:val="24"/>
          <w:szCs w:val="24"/>
        </w:rPr>
        <w:t xml:space="preserve">BA ISAGO University, </w:t>
      </w:r>
      <w:hyperlink r:id="rId8" w:history="1">
        <w:r w:rsidRPr="00253D9E">
          <w:rPr>
            <w:rStyle w:val="Hyperlink"/>
            <w:rFonts w:ascii="Calibri" w:hAnsi="Calibri" w:cs="Calibri"/>
            <w:sz w:val="24"/>
            <w:szCs w:val="24"/>
          </w:rPr>
          <w:t>chonanga@gmail.com</w:t>
        </w:r>
      </w:hyperlink>
    </w:p>
    <w:p w:rsidR="00B9517A" w:rsidRDefault="00B9517A" w:rsidP="00B9517A">
      <w:pPr>
        <w:autoSpaceDE w:val="0"/>
        <w:autoSpaceDN w:val="0"/>
        <w:adjustRightInd w:val="0"/>
        <w:spacing w:after="0" w:line="240" w:lineRule="auto"/>
        <w:rPr>
          <w:rFonts w:ascii="Calibri" w:hAnsi="Calibri" w:cs="Calibri"/>
          <w:bCs/>
          <w:sz w:val="24"/>
          <w:szCs w:val="24"/>
          <w:u w:val="single"/>
        </w:rPr>
      </w:pPr>
      <w:r>
        <w:rPr>
          <w:rFonts w:ascii="Calibri" w:hAnsi="Calibri" w:cs="Calibri"/>
          <w:b/>
          <w:bCs/>
          <w:color w:val="000000" w:themeColor="text1"/>
          <w:sz w:val="24"/>
          <w:szCs w:val="24"/>
        </w:rPr>
        <w:tab/>
      </w:r>
      <w:r>
        <w:rPr>
          <w:rFonts w:ascii="Calibri" w:hAnsi="Calibri" w:cs="Calibri"/>
          <w:b/>
          <w:bCs/>
          <w:color w:val="000000" w:themeColor="text1"/>
          <w:sz w:val="24"/>
          <w:szCs w:val="24"/>
        </w:rPr>
        <w:tab/>
      </w:r>
      <w:r>
        <w:rPr>
          <w:rFonts w:ascii="Calibri" w:hAnsi="Calibri" w:cs="Calibri"/>
          <w:b/>
          <w:bCs/>
          <w:color w:val="000000" w:themeColor="text1"/>
          <w:sz w:val="24"/>
          <w:szCs w:val="24"/>
        </w:rPr>
        <w:tab/>
      </w:r>
      <w:r>
        <w:rPr>
          <w:rFonts w:ascii="Calibri" w:hAnsi="Calibri" w:cs="Calibri"/>
          <w:b/>
          <w:bCs/>
          <w:color w:val="000000" w:themeColor="text1"/>
          <w:sz w:val="24"/>
          <w:szCs w:val="24"/>
          <w:vertAlign w:val="superscript"/>
        </w:rPr>
        <w:t>5</w:t>
      </w:r>
      <w:r w:rsidRPr="008049AA">
        <w:rPr>
          <w:rFonts w:ascii="Calibri" w:hAnsi="Calibri" w:cs="Calibri"/>
          <w:bCs/>
          <w:color w:val="000000" w:themeColor="text1"/>
          <w:sz w:val="24"/>
          <w:szCs w:val="24"/>
        </w:rPr>
        <w:t>University of Botswana</w:t>
      </w:r>
      <w:r>
        <w:rPr>
          <w:rFonts w:ascii="Calibri" w:hAnsi="Calibri" w:cs="Calibri"/>
          <w:bCs/>
          <w:color w:val="000000" w:themeColor="text1"/>
          <w:sz w:val="24"/>
          <w:szCs w:val="24"/>
        </w:rPr>
        <w:t>,</w:t>
      </w:r>
      <w:r w:rsidRPr="008049AA">
        <w:rPr>
          <w:rFonts w:ascii="Calibri" w:hAnsi="Calibri" w:cs="Calibri"/>
          <w:bCs/>
          <w:color w:val="000000" w:themeColor="text1"/>
          <w:sz w:val="24"/>
          <w:szCs w:val="24"/>
        </w:rPr>
        <w:t xml:space="preserve"> </w:t>
      </w:r>
      <w:hyperlink r:id="rId9" w:history="1">
        <w:r w:rsidRPr="00253D9E">
          <w:rPr>
            <w:rStyle w:val="Hyperlink"/>
            <w:rFonts w:ascii="Calibri" w:hAnsi="Calibri" w:cs="Calibri"/>
            <w:bCs/>
            <w:sz w:val="24"/>
            <w:szCs w:val="24"/>
          </w:rPr>
          <w:t>phenyo.mpolokang@mopipi.ub.bw</w:t>
        </w:r>
      </w:hyperlink>
    </w:p>
    <w:p w:rsidR="00C245E5" w:rsidRDefault="00B9517A" w:rsidP="00B9517A">
      <w:pPr>
        <w:jc w:val="center"/>
        <w:rPr>
          <w:rStyle w:val="Hyperlink"/>
          <w:rFonts w:ascii="Calibri" w:hAnsi="Calibri" w:cs="Calibri"/>
          <w:bCs/>
          <w:sz w:val="24"/>
          <w:szCs w:val="24"/>
        </w:rPr>
      </w:pPr>
      <w:r>
        <w:rPr>
          <w:rFonts w:ascii="Calibri" w:hAnsi="Calibri" w:cs="Calibri"/>
          <w:bCs/>
          <w:sz w:val="24"/>
          <w:szCs w:val="24"/>
          <w:vertAlign w:val="superscript"/>
        </w:rPr>
        <w:t>6</w:t>
      </w:r>
      <w:r>
        <w:rPr>
          <w:rFonts w:ascii="Calibri" w:hAnsi="Calibri" w:cs="Calibri"/>
          <w:bCs/>
          <w:sz w:val="24"/>
          <w:szCs w:val="24"/>
        </w:rPr>
        <w:t xml:space="preserve">University of Botswana, </w:t>
      </w:r>
      <w:hyperlink r:id="rId10" w:history="1">
        <w:r w:rsidRPr="00253D9E">
          <w:rPr>
            <w:rStyle w:val="Hyperlink"/>
            <w:rFonts w:ascii="Calibri" w:hAnsi="Calibri" w:cs="Calibri"/>
            <w:bCs/>
            <w:sz w:val="24"/>
            <w:szCs w:val="24"/>
          </w:rPr>
          <w:t>Milidzani.Majingo@mopipi.ub.bw</w:t>
        </w:r>
      </w:hyperlink>
    </w:p>
    <w:p w:rsidR="00B9517A" w:rsidRDefault="00B9517A" w:rsidP="00B9517A">
      <w:pPr>
        <w:jc w:val="center"/>
        <w:rPr>
          <w:rStyle w:val="Hyperlink"/>
          <w:rFonts w:ascii="Calibri" w:hAnsi="Calibri" w:cs="Calibri"/>
          <w:bCs/>
          <w:sz w:val="24"/>
          <w:szCs w:val="24"/>
        </w:rPr>
      </w:pPr>
    </w:p>
    <w:p w:rsidR="00B9517A" w:rsidRPr="00DF06C7" w:rsidRDefault="00B9517A" w:rsidP="00B9517A">
      <w:pPr>
        <w:jc w:val="both"/>
        <w:rPr>
          <w:rFonts w:eastAsiaTheme="majorEastAsia" w:cstheme="majorBidi"/>
          <w:sz w:val="24"/>
          <w:szCs w:val="24"/>
          <w:lang w:val="en-GB"/>
        </w:rPr>
      </w:pPr>
      <w:r w:rsidRPr="00DF06C7">
        <w:rPr>
          <w:rFonts w:eastAsiaTheme="minorHAnsi"/>
          <w:sz w:val="24"/>
          <w:szCs w:val="24"/>
          <w:lang w:val="en-GB"/>
        </w:rPr>
        <w:t>The purpose of the country scope study was to analyse the practice of land governance in Botswana. Botswana is a landlocked country measuring 582,000Km</w:t>
      </w:r>
      <w:r w:rsidRPr="00DF06C7">
        <w:rPr>
          <w:rFonts w:eastAsiaTheme="minorHAnsi"/>
          <w:sz w:val="24"/>
          <w:szCs w:val="24"/>
          <w:vertAlign w:val="superscript"/>
          <w:lang w:val="en-GB"/>
        </w:rPr>
        <w:t>2</w:t>
      </w:r>
      <w:r w:rsidRPr="00DF06C7">
        <w:rPr>
          <w:rFonts w:eastAsiaTheme="minorHAnsi"/>
          <w:sz w:val="24"/>
          <w:szCs w:val="24"/>
          <w:lang w:val="en-GB"/>
        </w:rPr>
        <w:t xml:space="preserve"> and bordered by four countries, namely Namibia, Zambia, Zimbabwe and South Africa. Botswana got independence from the British Protectorate on 30</w:t>
      </w:r>
      <w:r w:rsidRPr="00DF06C7">
        <w:rPr>
          <w:rFonts w:eastAsiaTheme="minorHAnsi"/>
          <w:sz w:val="24"/>
          <w:szCs w:val="24"/>
          <w:vertAlign w:val="superscript"/>
          <w:lang w:val="en-GB"/>
        </w:rPr>
        <w:t>th</w:t>
      </w:r>
      <w:r w:rsidRPr="00DF06C7">
        <w:rPr>
          <w:rFonts w:eastAsiaTheme="minorHAnsi"/>
          <w:sz w:val="24"/>
          <w:szCs w:val="24"/>
          <w:lang w:val="en-GB"/>
        </w:rPr>
        <w:t xml:space="preserve"> September 1966 and is ruled by a democratically elected State President.</w:t>
      </w:r>
      <w:r w:rsidRPr="00DF06C7">
        <w:rPr>
          <w:rFonts w:eastAsiaTheme="majorEastAsia" w:cstheme="majorBidi"/>
          <w:sz w:val="24"/>
          <w:szCs w:val="24"/>
          <w:lang w:val="en-GB"/>
        </w:rPr>
        <w:t xml:space="preserve"> The three arms of government are Executive, Judiciary and legislature. The country’s main economic activity is Diamond mining contributing about 40% to the Gross Domestic Product (GDP) which is supplemented by tourism, then agriculture and taxes. The country’s population is concentrated in the fertile eastern parts of the country where there are some traces of rainfall. A population of about 2 million people resides on a land of 582,000Km</w:t>
      </w:r>
      <w:r w:rsidRPr="00DF06C7">
        <w:rPr>
          <w:rFonts w:eastAsiaTheme="majorEastAsia" w:cstheme="majorBidi"/>
          <w:sz w:val="24"/>
          <w:szCs w:val="24"/>
          <w:vertAlign w:val="superscript"/>
          <w:lang w:val="en-GB"/>
        </w:rPr>
        <w:t>2</w:t>
      </w:r>
      <w:r w:rsidRPr="00DF06C7">
        <w:rPr>
          <w:rFonts w:eastAsiaTheme="majorEastAsia" w:cstheme="majorBidi"/>
          <w:sz w:val="24"/>
          <w:szCs w:val="24"/>
          <w:lang w:val="en-GB"/>
        </w:rPr>
        <w:t xml:space="preserve"> which translates into a 3.4 persons per kilometre squared with a per capital income of US$8,259. Despite a lower density, Botswana still faces challenges of land due to the majority of the land being a desert. This report presents the key challenges that the land administration indicators are facing in Botswana as far as land governance is concerned.</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t>The research approach that was used in coming up with these challenges was qualitative in nature through the use of document analysis and review, observations, and record searches. The type of the data that was used in this research report is qualitative in nature and was analysed using thematic and content analysis. The documents that were used included government reports, Acts and policy documents, and published articles.</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t>The results revealed a number of key challenges across all land administration indicators that are adopted in land governance. Under the country profile and background, over population in urban centres was identified as the major challenge, followed by high rates of unemployment due to migration. The other challenge was poverty levels in rural areas and low skilled workforce by the youths.</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lastRenderedPageBreak/>
        <w:t>The major challenges that were identified under institutional and legal framework were lack of synchronisation in policy documents and relevant Acts of Parliament in different ministries. On the other hand, the Deeds Registry only caters for common law land rights and does not register and keep land records for customary land rights and it is also not computerised yet. Disputes concerning land take time to be resolved in the land Tribunal and compensation for land is not adequate. Where re-allocations are to be done they also take time.</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t xml:space="preserve">It was also noted that there are delays in allocating land to applicants on the waiting list even when land is available due to the manual procedures that are used to screen and vet applicants with other relevant stakeholders such as Botswana Housing Corporation (BHC). As a result of an increase in the population in the cities and towns, this has triggered a rampant shortage of land. The other concern that was noted which is a threat to homelessness is that of gentrification in low income areas and neighbouring villages. These are displaced by the middle income group by purchasing land parcels from the low income group. In as far as land management is concerned; the major challenges are a lack of well-coordinated system. This results into delays in allocation of land and corrupt acts where people start allocating to more than one applicant as was in the case of </w:t>
      </w:r>
      <w:proofErr w:type="spellStart"/>
      <w:r w:rsidRPr="00DF06C7">
        <w:rPr>
          <w:rFonts w:eastAsiaTheme="majorEastAsia" w:cstheme="majorBidi"/>
          <w:sz w:val="24"/>
          <w:szCs w:val="24"/>
          <w:lang w:val="en-GB"/>
        </w:rPr>
        <w:t>Mogoditshane</w:t>
      </w:r>
      <w:proofErr w:type="spellEnd"/>
      <w:r w:rsidRPr="00DF06C7">
        <w:rPr>
          <w:rFonts w:eastAsiaTheme="majorEastAsia" w:cstheme="majorBidi"/>
          <w:sz w:val="24"/>
          <w:szCs w:val="24"/>
          <w:lang w:val="en-GB"/>
        </w:rPr>
        <w:t>.</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t>Lack of a well-coordinated local property taxation system is another challenge which contributes to delayed production of valuation rolls due to non-computerisation of the rating valuation system. It was also noted that most of the valuation rolls in the country were outdated and with high defaults recorded. There is also not a well-coordinated system is the administration of other types of property taxes such as Property Transfer Tax (PTT) where there were a number of under declaration of the purchase price for the purpose of evading  and avoiding the tax .</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t>Major challenges concerning the management of public land were a lack of a cell computerised system together with disjointed roles amongst concerned parties. In wildlife management areas, it was also noted that a higher population of elephants is a threat to food security as it invades and attacks homesteads and crop fields. This leads to a low crop yield thus resulting in to higher levels of rural poverty. The other challenge which was noted was the over-reliance on natural resources for use in the development of the country infrastructure and buildings. River sand is mined in rivers without replenishing or considering recycling and reusing of other building materials. Sustainable development is also affected due to lack of green zones or belts in cities. Lastly, the fencing and grazing policies have not been that effective thus ending up losing animals and communal land to other competing uses such as private ranches.</w:t>
      </w:r>
    </w:p>
    <w:p w:rsidR="00B9517A" w:rsidRPr="00DF06C7" w:rsidRDefault="00B9517A" w:rsidP="00B9517A">
      <w:pPr>
        <w:jc w:val="both"/>
        <w:rPr>
          <w:rFonts w:eastAsiaTheme="majorEastAsia" w:cstheme="majorBidi"/>
          <w:sz w:val="24"/>
          <w:szCs w:val="24"/>
          <w:lang w:val="en-GB"/>
        </w:rPr>
      </w:pPr>
      <w:r w:rsidRPr="00DF06C7">
        <w:rPr>
          <w:rFonts w:eastAsiaTheme="majorEastAsia" w:cstheme="majorBidi"/>
          <w:sz w:val="24"/>
          <w:szCs w:val="24"/>
          <w:lang w:val="en-GB"/>
        </w:rPr>
        <w:t xml:space="preserve">Efforts to improve land information systems (LIS) in the 1990s were all directed to the Botswana Land Information Systems (BLIS) which did not yield much result. State Land Information Management System (SLIMS) and Tribal Land Information Management Systems </w:t>
      </w:r>
      <w:r w:rsidRPr="00DF06C7">
        <w:rPr>
          <w:rFonts w:eastAsiaTheme="majorEastAsia" w:cstheme="majorBidi"/>
          <w:sz w:val="24"/>
          <w:szCs w:val="24"/>
          <w:lang w:val="en-GB"/>
        </w:rPr>
        <w:lastRenderedPageBreak/>
        <w:t>(TLIMS) in 2002 -2008 were fruitless and in 2009 there came Land Administration Processes and Capacity Systems (LAPCAS). These could have been the panacea to the problems that the system is facing, however the process to implement them takes long and consequently not actualised. The land information is available but remains disjointed and inaccessible by the public.</w:t>
      </w:r>
    </w:p>
    <w:p w:rsidR="00B9517A" w:rsidRPr="0005568C" w:rsidRDefault="00B9517A" w:rsidP="00B9517A">
      <w:pPr>
        <w:jc w:val="both"/>
        <w:rPr>
          <w:rFonts w:ascii="Calibri" w:eastAsiaTheme="minorHAnsi" w:hAnsi="Calibri" w:cs="Calibri"/>
          <w:b/>
          <w:iCs/>
          <w:color w:val="000000" w:themeColor="text1"/>
        </w:rPr>
      </w:pPr>
      <w:r w:rsidRPr="00DF06C7">
        <w:rPr>
          <w:rFonts w:eastAsiaTheme="majorEastAsia" w:cstheme="majorBidi"/>
          <w:sz w:val="24"/>
          <w:szCs w:val="24"/>
          <w:lang w:val="en-GB"/>
        </w:rPr>
        <w:t>The implications of these challenges are that if the system is not developed and implemented double allocations and corrupts acts will still continue which in the end affect productivity and service delivery of service providers.</w:t>
      </w:r>
      <w:r>
        <w:rPr>
          <w:rFonts w:eastAsiaTheme="majorEastAsia" w:cstheme="majorBidi"/>
          <w:sz w:val="24"/>
          <w:szCs w:val="24"/>
          <w:lang w:val="en-GB"/>
        </w:rPr>
        <w:t xml:space="preserve"> </w:t>
      </w:r>
      <w:proofErr w:type="gramStart"/>
      <w:r>
        <w:rPr>
          <w:rFonts w:eastAsiaTheme="majorEastAsia" w:cstheme="majorBidi"/>
          <w:sz w:val="24"/>
          <w:szCs w:val="24"/>
          <w:lang w:val="en-GB"/>
        </w:rPr>
        <w:t>L</w:t>
      </w:r>
      <w:r w:rsidRPr="00DF06C7">
        <w:rPr>
          <w:rFonts w:eastAsiaTheme="majorEastAsia" w:cstheme="majorBidi"/>
          <w:sz w:val="24"/>
          <w:szCs w:val="24"/>
          <w:lang w:val="en-GB"/>
        </w:rPr>
        <w:t>oss of revenue from property tax as a result of not having a well – coordinated system in place.</w:t>
      </w:r>
      <w:proofErr w:type="gramEnd"/>
      <w:r w:rsidRPr="00DF06C7">
        <w:rPr>
          <w:rFonts w:eastAsiaTheme="majorEastAsia" w:cstheme="majorBidi"/>
          <w:sz w:val="24"/>
          <w:szCs w:val="24"/>
          <w:lang w:val="en-GB"/>
        </w:rPr>
        <w:t xml:space="preserve"> As a result of poor delivery of service, dissatisfied customers, low productivity and low economic output will be the order of the day. The recommendation is that well-coordinated framework that embraces e-governance is a recipe for good land governance by linking or integrating all units and sectors of the economy.</w:t>
      </w:r>
    </w:p>
    <w:p w:rsidR="00B9517A" w:rsidRDefault="00B9517A" w:rsidP="00B9517A">
      <w:pPr>
        <w:jc w:val="both"/>
        <w:rPr>
          <w:rFonts w:eastAsiaTheme="majorEastAsia" w:cstheme="majorBidi"/>
          <w:sz w:val="24"/>
          <w:szCs w:val="24"/>
          <w:lang w:val="en-GB"/>
        </w:rPr>
      </w:pPr>
      <w:r w:rsidRPr="0005568C">
        <w:rPr>
          <w:rFonts w:ascii="Calibri" w:eastAsiaTheme="minorHAnsi" w:hAnsi="Calibri" w:cs="Calibri"/>
          <w:b/>
          <w:iCs/>
          <w:color w:val="000000" w:themeColor="text1"/>
        </w:rPr>
        <w:t xml:space="preserve">Key Words: </w:t>
      </w:r>
      <w:r w:rsidRPr="0005568C">
        <w:rPr>
          <w:rFonts w:ascii="Calibri" w:eastAsiaTheme="minorHAnsi" w:hAnsi="Calibri" w:cs="Calibri"/>
          <w:b/>
          <w:iCs/>
          <w:color w:val="000000" w:themeColor="text1"/>
        </w:rPr>
        <w:tab/>
      </w:r>
      <w:r w:rsidRPr="00DF06C7">
        <w:rPr>
          <w:rFonts w:eastAsiaTheme="majorEastAsia" w:cstheme="majorBidi"/>
          <w:sz w:val="24"/>
          <w:szCs w:val="24"/>
          <w:lang w:val="en-GB"/>
        </w:rPr>
        <w:t>Land governance; good land governance; land information systems; land management; valuation and taxation; management of public land; land administration; land administration indicators.</w:t>
      </w:r>
    </w:p>
    <w:p w:rsidR="00B9517A" w:rsidRDefault="00B9517A" w:rsidP="00B9517A">
      <w:pPr>
        <w:jc w:val="both"/>
      </w:pPr>
      <w:bookmarkStart w:id="0" w:name="_GoBack"/>
      <w:bookmarkEnd w:id="0"/>
    </w:p>
    <w:sectPr w:rsidR="00B9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7A"/>
    <w:rsid w:val="00B9517A"/>
    <w:rsid w:val="00C2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7A"/>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17A"/>
    <w:rPr>
      <w:color w:val="0000FF" w:themeColor="hyperlink"/>
      <w:u w:val="single"/>
    </w:rPr>
  </w:style>
  <w:style w:type="paragraph" w:customStyle="1" w:styleId="Default">
    <w:name w:val="Default"/>
    <w:rsid w:val="00B9517A"/>
    <w:pPr>
      <w:autoSpaceDE w:val="0"/>
      <w:autoSpaceDN w:val="0"/>
      <w:adjustRightInd w:val="0"/>
      <w:spacing w:after="0" w:line="240" w:lineRule="auto"/>
    </w:pPr>
    <w:rPr>
      <w:rFonts w:ascii="Cambria" w:eastAsia="Calibri"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7A"/>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17A"/>
    <w:rPr>
      <w:color w:val="0000FF" w:themeColor="hyperlink"/>
      <w:u w:val="single"/>
    </w:rPr>
  </w:style>
  <w:style w:type="paragraph" w:customStyle="1" w:styleId="Default">
    <w:name w:val="Default"/>
    <w:rsid w:val="00B9517A"/>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nanga@gmail.com" TargetMode="External"/><Relationship Id="rId3" Type="http://schemas.openxmlformats.org/officeDocument/2006/relationships/settings" Target="settings.xml"/><Relationship Id="rId7" Type="http://schemas.openxmlformats.org/officeDocument/2006/relationships/hyperlink" Target="mailto:loyd.sungirirai@baisago.ac.bw"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mon.Kachepa@mopipi.ub.bw" TargetMode="External"/><Relationship Id="rId11" Type="http://schemas.openxmlformats.org/officeDocument/2006/relationships/fontTable" Target="fontTable.xml"/><Relationship Id="rId5" Type="http://schemas.openxmlformats.org/officeDocument/2006/relationships/hyperlink" Target="mailto:Kampambaj@mopipi.ub.bw" TargetMode="External"/><Relationship Id="rId10" Type="http://schemas.openxmlformats.org/officeDocument/2006/relationships/hyperlink" Target="mailto:Milidzani.Majingo@mopipi.ub.bw" TargetMode="External"/><Relationship Id="rId4" Type="http://schemas.openxmlformats.org/officeDocument/2006/relationships/webSettings" Target="webSettings.xml"/><Relationship Id="rId9" Type="http://schemas.openxmlformats.org/officeDocument/2006/relationships/hyperlink" Target="mailto:phenyo.mpolokang@mopipi.ub.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Loyd Sungirirai</dc:creator>
  <cp:lastModifiedBy>Loyd Sungirirai</cp:lastModifiedBy>
  <cp:revision>2</cp:revision>
  <dcterms:created xsi:type="dcterms:W3CDTF">2019-09-03T08:20:00Z</dcterms:created>
  <dcterms:modified xsi:type="dcterms:W3CDTF">2019-09-03T08:20:00Z</dcterms:modified>
</cp:coreProperties>
</file>